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湖南信息职业技术学院20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年单独招生考试</w:t>
      </w:r>
    </w:p>
    <w:p>
      <w:pPr>
        <w:shd w:val="clear"/>
        <w:jc w:val="center"/>
        <w:rPr>
          <w:rFonts w:hint="default" w:ascii="宋体" w:hAnsi="宋体" w:eastAsia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32"/>
          <w:szCs w:val="32"/>
          <w:highlight w:val="none"/>
          <w:lang w:val="en-US" w:eastAsia="zh-CN"/>
        </w:rPr>
        <w:t>职业技能测试A组样题</w:t>
      </w:r>
    </w:p>
    <w:p>
      <w:pPr>
        <w:jc w:val="center"/>
        <w:rPr>
          <w:rFonts w:hint="eastAsia" w:ascii="楷体" w:hAnsi="楷体" w:eastAsia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highlight w:val="none"/>
          <w:lang w:val="en-US" w:eastAsia="zh-CN"/>
        </w:rPr>
        <w:t>中职类考生</w:t>
      </w:r>
    </w:p>
    <w:p>
      <w:pPr>
        <w:spacing w:after="100" w:afterAutospacing="1"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一、单选题。共20小题，每小题6分，共120分。在每小题列出的四个备选答案中，只有一个符合题目的要求。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 “爱国、 敬业、诚信、友善”反映了“中国梦”的实现主体(  )。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A、中国特色社会主义主义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B、社会主义性质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C、公民的德性和品格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D、人民群众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 个人主义强调优先满足和实现个人的欲望和要求，其核心是（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A、利已主义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B、把个人价值看得高于一切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C、反对集体主义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D、反对封建特权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 想做好事，又怕别人讥笑;想参加竞赛，又怕失败，这是（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A、双趋冲突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B、趋避冲突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C、双避冲突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D、双重趋避冲突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4. 以下哪种口罩没有防护作用（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A、网红海绵口罩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B、一次性医用口罩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C、N95医用防护口罩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D、KN97医用防护口罩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5. 下列情形,不容易发生安全失误的是（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A、适当紧张时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B、外界干扰因素过多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C、任务繁重时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D、时间压力大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6. 新疆维吾尔自治区是中国风力资源最丰富的地区之一，每年的风能约为9127亿千瓦时。新疆正在开发利用风力资源发电，风能将成为该地区未来重要的替代能源。，新疆达坂城风电厂是中国第一个大型风电厂，目前安装了200台风车，年发电量为1800万千瓦时。这个事例体现了(  )。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A、技术可以发展人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B、人类可以利用自然并改造自然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C、技术会对环境造成负面影响       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D、技术可以解放人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7. 色环电阻的四个色环依次是红红红金，其标称阻值为（  ）Ω。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A、22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B、220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C、2.2K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D、22K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8. 欧姆定律的表达式I=U/R中U表示(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A、电流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B、电压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C、电阻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D、功率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9. 电感元件在电路中的表现是(  )。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A、交流电不能通过，直流电能通过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B、高频和低频交流电都不能通过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C、高频交流电能通过，低频交流电不能通过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D、对给定的电感元件，低频交流电较高频交流电易通过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理想二极管的正向电阻为（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零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无穷大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约几百千欧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以上都不对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三极管有两个结，分别为（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基结，集电结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基结，发射结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集电结，发射结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PN结，NP结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OCL功率放大电路工作于乙类状态时，会出现（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双向失真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交越失真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饱和失真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截止失真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13.下列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属于时序逻辑电路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是（  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加法器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编码器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二进制计数器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译码器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14.要对0~9十个数字编码，至少需要（  ）二进制代码。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A、3位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B、4位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C、5位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D、6位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15.十进制数56的二进制数是(  )。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A、0011 1000B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B、0101 1100B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C、1100 0111B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D、0101 0000B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16.单片机的发展趋势中没有包括的是(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A、高性能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B、高价格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C、低功耗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D、高性价比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17.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数字式万用表的（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红表笔与表内电池的正极相连，黑表笔与表内电池的负极相连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黑表笔与表内电池的正极相连，红表笔与表内电池的负极相连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红表笔与表内电池不相连，黑表笔与表内电池不相连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两表笔与表内电池短路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18.关于道德与法律的区别，你认为表述不正确的是（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A、道德产生时间比法律早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B、道德调整范围比法律调整范围广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C、道德的表现形式不如法律严谨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D、道德的实施比法律更具有强制性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19.未来的职场竞争中的核心竞争力是（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A、自控能力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B、学习能力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C、表达能力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D、创新能力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20.秘书的下列做法中，符合爱岗敬业职业道德要求的是（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A、忠诚单位领导，总是按照上司的要求上报统计数字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B、秘书对上级早请示，晚汇报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C、秘书处理客户反映的质量问题，协调相关部门对其生产的汽车实施召回制度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D、秘书处理部门间工作冲突时，善意的谎言不违背诚信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二、判断题。共1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小题，每小题5分，共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75</w:t>
      </w:r>
      <w:r>
        <w:rPr>
          <w:rFonts w:ascii="Times New Roman" w:hAnsi="Times New Roman" w:cs="Times New Roman"/>
          <w:b/>
          <w:sz w:val="28"/>
          <w:szCs w:val="28"/>
        </w:rPr>
        <w:t>分。判断对或错，每题中只有一个是正确答案。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 模拟万用表的两根表棒分别接触一个二极管的两端，当测得的电阻较小时,红表笔所接触的是二极管的正极。(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 电荷的定向移动形成电流。(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 当电源两端不接负载时，电源的开路电压等于电源的电动势，但二者方向相反。(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4. 铜线有更好的电气特性，电阻率比铝小。(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5. 1千瓦小时就是1千“度”电。(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6. 三极管是由两个PN结组成，那么可利用两个二极管代替一个三极管。(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7. 数字电路的逻辑关系既可以采用“正逻辑”，也可以采用“负逻辑”。(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8. 对电气安全规程中的具体规定，实践中应根据具体情况灵活调整。(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9.PLC常用编程语言可以用梯形图。(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10.以人与自然和谐为核心的生态文明是对工业文明反思的必然要求。(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11.近代中国的社会性质是封建社会。(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12.新民主主义革命不是一般地反对资本主义和封建主义。(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13.中国的资产阶级民主主义革命属于世界资产阶级革命的一部分。(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14.心理健康的人对生活环境有适切的认识，生活目标切合实际，能切实有效地面对问题、解决问题，而不是逃避问题。(  )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15.酸葡萄心理效应是指将得不到的认为是不好的心理。考试时遇上不会的题或想不起的知识，可运用酸葡萄心理效应来应对。(  )</w:t>
      </w:r>
    </w:p>
    <w:p>
      <w:pPr>
        <w:spacing w:after="100" w:afterAutospacing="1"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三、多选题。共5小题，每小题6分，共30分。每题中四个选项里有两个或两个以上的正确项。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 中华民族传统文化源远流长,博大精深,积淀着中华民族最深层次的精神追求,包含着中华民族最根本的精神基因，是凝练社会主义核心价值观珍贵的思想资源。 这包括以下理念(  )。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A、重和谐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B、重伦理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C、重民本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D、重爱国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 人的全面发展的基本内涵包括（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A、人的活动的全面发展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B、人的素质全面提升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C、人的社会关系的全面发展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D、人的个性的自由发展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 下列属于电功的单位有（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A、焦耳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B、度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C、兆瓦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D、千瓦时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关于二极管正确的说法是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  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检波二极管:电流小，结电容小，主要用在在小信号、高频率的电路中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发光二极管:和普通二极管类似，也具有单向导电性，发光响应速度可快到几十纳秒，颜色和外形种类很多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稳压二极管:属于硅管，在反向击穿区具有极陡的击穿曲线，在很大的电流变化范围内，只有极小的电压变化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D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硅整流二极管:电源电路上做整流元件，还可以灵活的构成限幅、钳位、抑制反向电动势等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5. 将十进制数157表示成851BCD码，错误的是（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A.0011 0101 011l;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B.0001 1101 0111;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C.0001 0111 0111;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D.0001 0101 0111;</w:t>
      </w:r>
    </w:p>
    <w:p>
      <w:pPr>
        <w:pStyle w:val="2"/>
        <w:spacing w:before="0" w:after="0"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四、</w:t>
      </w:r>
      <w:r>
        <w:rPr>
          <w:rFonts w:hint="eastAsia"/>
          <w:sz w:val="28"/>
          <w:szCs w:val="28"/>
        </w:rPr>
        <w:t>分析</w:t>
      </w:r>
      <w:r>
        <w:rPr>
          <w:sz w:val="28"/>
          <w:szCs w:val="28"/>
        </w:rPr>
        <w:t>题。</w:t>
      </w:r>
      <w:r>
        <w:rPr>
          <w:rFonts w:hint="eastAsia"/>
          <w:sz w:val="28"/>
          <w:szCs w:val="28"/>
        </w:rPr>
        <w:t>共4</w:t>
      </w:r>
      <w:r>
        <w:rPr>
          <w:rFonts w:hint="eastAsia"/>
          <w:sz w:val="28"/>
          <w:szCs w:val="28"/>
          <w:lang w:val="en-US" w:eastAsia="zh-CN"/>
        </w:rPr>
        <w:t>题</w:t>
      </w:r>
      <w:r>
        <w:rPr>
          <w:rFonts w:hint="eastAsia"/>
          <w:sz w:val="28"/>
          <w:szCs w:val="28"/>
        </w:rPr>
        <w:t>，下面是部分样题，不定项选择题，共75分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 2008年5月5日中央民族大学28号楼6层S0601女生宿舍发生火灾，着火后楼内到处弥漫着浓烟，6层的能见度更是不足10米。着火的宿舍楼可容纳学生3000余人。火灾发生时大部分学生都在楼内，所幸消防员及时赶到将千学生被紧急疏散，事故才没有造成人员伤亡。宿舍最初起火部位为物品摆放架上的接线板部位，当时该接线板插着两台可充电台灯，以及引出的另一接线板。该接线板部位因用电器插头连接不规范，且长时间充电造成电器线路发生短路，火花引燃该接线板附近的布帘等可燃物蔓延向上造成火灾。该案例警醒我们要注意用电安全，请根据所学用电安全知识分析和回答下列问题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(1)用电设备不使用时要关上电源或拔掉插头，是为了（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A、节少能源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B、预防事故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C、保养设备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D、方便使用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(2)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导致电气系统发生火灾的最基本原因是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  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短路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敷设临时线路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过载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D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、线路老化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(3)发生电气火灾，在不能确定电源是否被切断的情况下，不能用于扑火的材料为（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A、干粉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B、二氧化碳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C、水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D、沙土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(4)实验仪器使用完后，如果需要拔出手插头，正确的方式是（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A、直接以接扯电线方式拔出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B、握住插头排出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C、洗手后湿手拔出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D、不必拔出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(5)实验室如果需要增加电器设备，以下说法正确的是（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A、老师自行改装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B、联系电工安装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C、学生可以私自改接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D、须经学校有关部门批准，并由学校指派电工安装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 小明家有一台家用电器，打开电源后，电源指示灯不亮，电器没有任何反应。经查该设备电源电路为串联直流稳压电路，但输出没有电压，同时发现串接在输入端的电源保险管已经烧坏。针对这个故障问题，请根据所学知识分析和回答下列问题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(1)如果打开电源后电源指示灯不亮，电器没有任何反应，从故障现象来看（  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、肯定是电源电路有故障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、肯定是保险坏了，是小问题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、可能是大问题，肯定修不好了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D、电路电源本身和负载电路都有可能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(2)导致电源保险管烧坏故障可能出现的原因是（  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A、某整流二级管击穿短路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B、滤波电容短路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C、稳压二级管击穿短路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D、负载过载或短路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(3)电源的保险管烧坏了，检修过程中可以（  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A、直接更换原型号保险管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B、直接更换更大电流的保险管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C、先检查电路是否还存在短路，无短路再更换原型号保险管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D、先检查电路是否还存在短路，无短路再更换更大电流的保险管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(4)串联直流稳压电源主要由哪些部分组成部分（  ）。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A、取样电路部分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B、基准电压部分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C、比较放大部分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D、调整部分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(5)如果是桥式整流二极管损坏（短路），已知变压器输出电压（整流电路输入）为20V，负载电流为1A，则替换二极管的（  ）。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A、反向电压大于20V，电流大于0.5A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B、反向电压大于30V，电流大于0.5A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C、反向电压大于20V，电流大于1A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D、反向电压大于30V，电流大于1A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开展党史学习教育意义重大。我们党历来重视党史学习教育。在庆祝我们党百年华诞的重大时刻，在“两个一百年”奋斗目标历史交汇的关键节点，在全党集中开展党史学习教育，正当其时，十分必要。在全党开展党史学习教育，是牢记初心使命、推进中华民族伟大复兴历史伟业的必然要求，是坚定信仰信念、在新时代坚持和发展中国特色社会主义的必然要求，是推进党的自我革命、永葆党的生机活力的必然要求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cs="Times New Roman"/>
          <w:sz w:val="28"/>
          <w:szCs w:val="28"/>
        </w:rPr>
        <w:t>《 人民日报 》（ 2021年04月01日 01 版）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（1）</w:t>
      </w:r>
      <w:r>
        <w:rPr>
          <w:rFonts w:hint="eastAsia" w:ascii="Times New Roman" w:hAnsi="Times New Roman" w:cs="Times New Roman"/>
          <w:sz w:val="28"/>
          <w:szCs w:val="28"/>
        </w:rPr>
        <w:t>浙江嘉兴南湖岸边的“红船”，真实地再现了中共一大南湖会议的历史场景，已经成为人民群众心目中的革命圣物，更被公认为“党的摇篮”，向人们诉说着建党伟业的“红船精神”。从材料中可以清楚地看出（   ）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17" name="图片 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①文化与经济具有相互交融的特点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19" name="图片 1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②政治往往决定于一定的社会文化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18" name="图片 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③文化是社会实践的产物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20" name="图片 1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④文化要通过载体呈现出来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21" name="图片 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A．①②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B．①③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C．②③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D．③④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22" name="图片 2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（2）</w:t>
      </w:r>
      <w:r>
        <w:rPr>
          <w:rFonts w:hint="eastAsia" w:ascii="Times New Roman" w:hAnsi="Times New Roman" w:cs="Times New Roman"/>
          <w:sz w:val="28"/>
          <w:szCs w:val="28"/>
        </w:rPr>
        <w:t>嘉兴南湖红船、井冈山八角楼革命旧址群、宁夏西吉县将台堡红军长征会师纪念园……一处处旧址、一座座纪念馆，记录着中国革命的伟大历程和革命先烈的感人事迹，承载着革命传统和精神。保护好、管理好、运用好革命文物，不仅是党和人民的共识，也应成为各地政府和广大群众的切实行动。这是因为（    ）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①精神产品凝结在一定的物质载体之中       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4" name="图片 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②人们在社会实践中创造和发展文化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9" name="图片 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③文化素养可以通过参与文化活动培养       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7" name="图片 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④革命文物对人的影响是难以抹去的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8" name="图片 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A．①②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B．③④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C．①③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D．②④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5" name="图片 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（3）</w:t>
      </w:r>
      <w:r>
        <w:rPr>
          <w:rFonts w:hint="eastAsia" w:ascii="Times New Roman" w:hAnsi="Times New Roman" w:cs="Times New Roman"/>
          <w:sz w:val="28"/>
          <w:szCs w:val="28"/>
        </w:rPr>
        <w:t>爬树、割水稻、为果树涂白、秋播菠菜、磨豆浆……，北京多所学校或因地制宜或走入农场田间，开展形式多样的沉浸式劳动教育。课堂搬进农场，“沉浸式”体验劳动乐趣，学生们既深刻体验了劳动的艰辛与快乐，又活学活用了科学知识。沉浸式劳动教育（   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①凸显了劳动素养在文化素养中的核心地位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46" name="图片 4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②有助于学生实现知行合一，提升劳动能力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48" name="图片 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5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③是学生德行养成、奋斗精神培养的重要途径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45" name="图片 4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6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④旨在传承劳动基因，涵养青少年劳动情怀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49" name="图片 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A．①②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B．①④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C．②③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D．③④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50" name="图片 4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8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（4）</w:t>
      </w:r>
      <w:r>
        <w:rPr>
          <w:rFonts w:hint="eastAsia" w:ascii="Times New Roman" w:hAnsi="Times New Roman" w:cs="Times New Roman"/>
          <w:sz w:val="28"/>
          <w:szCs w:val="28"/>
        </w:rPr>
        <w:t>“唱支心歌给党听”大型主题合唱活动于2021年3月至10月，在北京、上海、嘉兴等10个城市以及港澳地区展开。活动以优秀的文艺作品和全民合唱的方式回顾百年历程，回望百年初心，向海内外讲好中国共产党与中国故事，展现中华儿女向着第二个百年目标迈进的精神风貌。从文化生活的角度看，开展这一活动是基于（   ）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52" name="图片 5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0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①中国共产党的初心使命是文化素养的核心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53" name="图片 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②文化越来越成为综合国力竞争的重要因素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58" name="图片 5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2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③文化与经济具有相互影响相互交融的关系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56" name="图片 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3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④健康向上的文化有利于培养人们健全人格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57" name="图片 5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4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A．①③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B．①④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C．②③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D．②④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54" name="图片 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5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（5）</w:t>
      </w:r>
      <w:r>
        <w:rPr>
          <w:rFonts w:hint="eastAsia" w:ascii="Times New Roman" w:hAnsi="Times New Roman" w:cs="Times New Roman"/>
          <w:sz w:val="28"/>
          <w:szCs w:val="28"/>
        </w:rPr>
        <w:t>中宣部2021年3月印发《关于做好2021年全民阅读工作的通知》。该通知指出，要突出主题主线，在广大群众中深入做好党史、新中国史、改革开放史、社会主义发展史等重点出版物阅读推广。推广重点出版物（   ）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59" name="图片 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7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①能使人在潜移默化中自发地接受文化熏陶，提升综合素养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60" name="图片 5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8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②能让人们在学习“四史”中丰富精神世界，增强精神力量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65" name="图片 5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9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③能营造学习“四史”文化氛围，更好满足人民阅读新期待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63" name="图片 6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0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④可彰显文化促进社会发展的作用，有助于增强文化影响力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64" name="图片 6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1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A．①②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B．①④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C．②③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D．③④</w:t>
      </w:r>
      <w:r>
        <w:rPr>
          <w:rFonts w:hint="eastAsia" w:ascii="Times New Roman" w:hAnsi="Times New Roman" w:cs="Times New Roman"/>
          <w:sz w:val="28"/>
          <w:szCs w:val="28"/>
        </w:rPr>
        <w:drawing>
          <wp:inline distT="0" distB="0" distL="114300" distR="114300">
            <wp:extent cx="1270" cy="635"/>
            <wp:effectExtent l="0" t="0" r="0" b="0"/>
            <wp:docPr id="61" name="图片 6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2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81465"/>
    <w:rsid w:val="00B70114"/>
    <w:rsid w:val="0A472B6D"/>
    <w:rsid w:val="0BFA7918"/>
    <w:rsid w:val="0DF81465"/>
    <w:rsid w:val="1DEB00FA"/>
    <w:rsid w:val="20892068"/>
    <w:rsid w:val="2BE71D33"/>
    <w:rsid w:val="2F0A5C06"/>
    <w:rsid w:val="30753757"/>
    <w:rsid w:val="37D11508"/>
    <w:rsid w:val="520032F6"/>
    <w:rsid w:val="65CC539A"/>
    <w:rsid w:val="68E60D0D"/>
    <w:rsid w:val="6BCF1867"/>
    <w:rsid w:val="7D9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8"/>
      <w:szCs w:val="48"/>
      <w:lang w:eastAsia="zh-CN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spacing w:line="300" w:lineRule="auto"/>
      <w:ind w:left="181" w:hanging="181"/>
      <w:jc w:val="left"/>
      <w:outlineLvl w:val="1"/>
    </w:pPr>
    <w:rPr>
      <w:rFonts w:ascii="宋体" w:hAnsi="宋体" w:eastAsia="宋体" w:cs="宋体"/>
      <w:b/>
      <w:bCs/>
      <w:kern w:val="2"/>
      <w:sz w:val="2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ascii="宋体" w:hAnsi="宋体" w:eastAsia="宋体" w:cs="宋体"/>
      <w:b/>
      <w:color w:val="000000"/>
      <w:sz w:val="36"/>
      <w:lang w:eastAsia="zh-CN" w:bidi="ar-SA"/>
    </w:rPr>
  </w:style>
  <w:style w:type="character" w:customStyle="1" w:styleId="7">
    <w:name w:val="标题 2 字符"/>
    <w:link w:val="3"/>
    <w:qFormat/>
    <w:uiPriority w:val="0"/>
    <w:rPr>
      <w:rFonts w:ascii="宋体" w:hAnsi="宋体" w:eastAsia="宋体" w:cs="宋体"/>
      <w:b/>
      <w:color w:val="000000"/>
      <w:kern w:val="2"/>
      <w:sz w:val="30"/>
      <w:lang w:eastAsia="zh-CN"/>
    </w:rPr>
  </w:style>
  <w:style w:type="paragraph" w:customStyle="1" w:styleId="8">
    <w:name w:val="样式1"/>
    <w:basedOn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2022-03-01T15:35:00Z</dcterms:created>
  <dc:creator>LI</dc:creator>
  <cp:lastModifiedBy>LI</cp:lastModifiedBy>
  <dcterms:modified xsi:type="dcterms:W3CDTF">2022-03-02T13:50:14Z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4BD58B6BDA3A4DA7A1DB9E55AF394A9B</vt:lpwstr>
  </property>
</Properties>
</file>